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6F96" w14:textId="77777777" w:rsidR="00E141C6" w:rsidRPr="00E141C6" w:rsidRDefault="00E141C6" w:rsidP="00E141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1C6">
        <w:rPr>
          <w:rFonts w:ascii="Times New Roman" w:hAnsi="Times New Roman" w:cs="Times New Roman"/>
          <w:b/>
          <w:sz w:val="24"/>
          <w:szCs w:val="24"/>
        </w:rPr>
        <w:t xml:space="preserve">Informacja o seminarium licencjackim na kierunku geografia </w:t>
      </w:r>
    </w:p>
    <w:p w14:paraId="7E546F97" w14:textId="77777777" w:rsidR="00E141C6" w:rsidRDefault="00E141C6" w:rsidP="00E141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1C6">
        <w:rPr>
          <w:rFonts w:ascii="Times New Roman" w:hAnsi="Times New Roman" w:cs="Times New Roman"/>
          <w:b/>
          <w:sz w:val="24"/>
          <w:szCs w:val="24"/>
        </w:rPr>
        <w:t xml:space="preserve">prowadzonym przez Katedrę Geografii Politycznej, Historycznej </w:t>
      </w:r>
    </w:p>
    <w:p w14:paraId="7E546F98" w14:textId="77777777" w:rsidR="008B779C" w:rsidRPr="00E141C6" w:rsidRDefault="00E141C6" w:rsidP="00E141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1C6">
        <w:rPr>
          <w:rFonts w:ascii="Times New Roman" w:hAnsi="Times New Roman" w:cs="Times New Roman"/>
          <w:b/>
          <w:sz w:val="24"/>
          <w:szCs w:val="24"/>
        </w:rPr>
        <w:t>i Studiów Regionalnych</w:t>
      </w:r>
    </w:p>
    <w:p w14:paraId="7E546F99" w14:textId="77777777" w:rsidR="00E141C6" w:rsidRPr="00E141C6" w:rsidRDefault="00E141C6" w:rsidP="00E141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546F9A" w14:textId="77777777" w:rsidR="00E141C6" w:rsidRPr="00E141C6" w:rsidRDefault="00E141C6" w:rsidP="00E141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1C6">
        <w:rPr>
          <w:rFonts w:ascii="Times New Roman" w:hAnsi="Times New Roman" w:cs="Times New Roman"/>
          <w:b/>
          <w:sz w:val="24"/>
          <w:szCs w:val="24"/>
        </w:rPr>
        <w:t xml:space="preserve">Kierownik jednostki </w:t>
      </w:r>
    </w:p>
    <w:p w14:paraId="7E546F9B" w14:textId="77777777" w:rsidR="00E141C6" w:rsidRPr="00E141C6" w:rsidRDefault="00E141C6" w:rsidP="00E141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1C6">
        <w:rPr>
          <w:rFonts w:ascii="Times New Roman" w:hAnsi="Times New Roman" w:cs="Times New Roman"/>
          <w:sz w:val="24"/>
          <w:szCs w:val="24"/>
        </w:rPr>
        <w:t xml:space="preserve">dr hab. prof. UŁ Marek Barwiński </w:t>
      </w:r>
    </w:p>
    <w:p w14:paraId="7E546F9C" w14:textId="77777777" w:rsidR="00E141C6" w:rsidRPr="00E141C6" w:rsidRDefault="00E141C6" w:rsidP="00E141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46F9D" w14:textId="77777777" w:rsidR="00E141C6" w:rsidRPr="00E141C6" w:rsidRDefault="00E141C6" w:rsidP="00E141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1C6">
        <w:rPr>
          <w:rFonts w:ascii="Times New Roman" w:hAnsi="Times New Roman" w:cs="Times New Roman"/>
          <w:b/>
          <w:sz w:val="24"/>
          <w:szCs w:val="24"/>
        </w:rPr>
        <w:t xml:space="preserve">Osoba prowadząca seminarium </w:t>
      </w:r>
    </w:p>
    <w:p w14:paraId="7E546F9E" w14:textId="77777777" w:rsidR="00E141C6" w:rsidRPr="00E141C6" w:rsidRDefault="00E141C6" w:rsidP="00E141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1C6">
        <w:rPr>
          <w:rFonts w:ascii="Times New Roman" w:hAnsi="Times New Roman" w:cs="Times New Roman"/>
          <w:sz w:val="24"/>
          <w:szCs w:val="24"/>
        </w:rPr>
        <w:t xml:space="preserve">dr hab. prof. UŁ Andrzej Rykała </w:t>
      </w:r>
    </w:p>
    <w:p w14:paraId="7E546F9F" w14:textId="77777777" w:rsidR="00E141C6" w:rsidRPr="00E141C6" w:rsidRDefault="00E141C6" w:rsidP="00E141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46FA0" w14:textId="77777777" w:rsidR="00E141C6" w:rsidRPr="00E141C6" w:rsidRDefault="00E141C6" w:rsidP="00E141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1C6">
        <w:rPr>
          <w:rFonts w:ascii="Times New Roman" w:hAnsi="Times New Roman" w:cs="Times New Roman"/>
          <w:b/>
          <w:sz w:val="24"/>
          <w:szCs w:val="24"/>
        </w:rPr>
        <w:t>Tematyka prac licencjackich</w:t>
      </w:r>
    </w:p>
    <w:p w14:paraId="7E546FA1" w14:textId="77777777" w:rsidR="00E141C6" w:rsidRPr="00E141C6" w:rsidRDefault="00E141C6" w:rsidP="00E141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46FA2" w14:textId="77777777" w:rsidR="00E141C6" w:rsidRPr="00E141C6" w:rsidRDefault="00E141C6" w:rsidP="00E141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1C6">
        <w:rPr>
          <w:rFonts w:ascii="Times New Roman" w:hAnsi="Times New Roman" w:cs="Times New Roman"/>
          <w:sz w:val="24"/>
          <w:szCs w:val="24"/>
        </w:rPr>
        <w:t>Tematy prac licencjackich studenci realizują na zajęciach seminaryjnych oraz podczas prowadzenia badań terenowych i kameralnych. Dokonują oni prostej analizy elementów środowiska przyrodniczego i przemian historycznych danego obszaru. Na podstawie zgromadzonej wiedzy przyrodniczej i historycznej są przygotowani do przedstawienia od stron społeczno-demograficznej, gospodarczej i kulturowej wybranych przez siebie fragmentów przestrzeni geograficznej. W postępowaniu badawczym, przy realizacji większości tematów prac licencjackich, sto</w:t>
      </w:r>
      <w:r w:rsidR="004014E7">
        <w:rPr>
          <w:rFonts w:ascii="Times New Roman" w:hAnsi="Times New Roman" w:cs="Times New Roman"/>
          <w:sz w:val="24"/>
          <w:szCs w:val="24"/>
        </w:rPr>
        <w:t>sują różnorodne narzędzia (np.</w:t>
      </w:r>
      <w:r w:rsidRPr="00E141C6">
        <w:rPr>
          <w:rFonts w:ascii="Times New Roman" w:hAnsi="Times New Roman" w:cs="Times New Roman"/>
          <w:sz w:val="24"/>
          <w:szCs w:val="24"/>
        </w:rPr>
        <w:t xml:space="preserve"> ankietę, wywiad kwestionariuszowy, badania archiwalne, </w:t>
      </w:r>
      <w:proofErr w:type="spellStart"/>
      <w:r w:rsidRPr="00E141C6">
        <w:rPr>
          <w:rFonts w:ascii="Times New Roman" w:hAnsi="Times New Roman" w:cs="Times New Roman"/>
          <w:sz w:val="24"/>
          <w:szCs w:val="24"/>
        </w:rPr>
        <w:t>Ge</w:t>
      </w:r>
      <w:r w:rsidR="004014E7">
        <w:rPr>
          <w:rFonts w:ascii="Times New Roman" w:hAnsi="Times New Roman" w:cs="Times New Roman"/>
          <w:sz w:val="24"/>
          <w:szCs w:val="24"/>
        </w:rPr>
        <w:t>ographic</w:t>
      </w:r>
      <w:proofErr w:type="spellEnd"/>
      <w:r w:rsidR="004014E7">
        <w:rPr>
          <w:rFonts w:ascii="Times New Roman" w:hAnsi="Times New Roman" w:cs="Times New Roman"/>
          <w:sz w:val="24"/>
          <w:szCs w:val="24"/>
        </w:rPr>
        <w:t xml:space="preserve"> Information System</w:t>
      </w:r>
      <w:r w:rsidRPr="00E141C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E546FA3" w14:textId="027B2E48" w:rsidR="00E141C6" w:rsidRPr="00E141C6" w:rsidRDefault="00E141C6" w:rsidP="00E141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1C6">
        <w:rPr>
          <w:rFonts w:ascii="Times New Roman" w:hAnsi="Times New Roman" w:cs="Times New Roman"/>
          <w:sz w:val="24"/>
          <w:szCs w:val="24"/>
        </w:rPr>
        <w:t xml:space="preserve">Prace przyjmują na ogół formy: opisową (z użyciem narzędzi pomiaru zjawisk, wykorzystaniem wskaźników, źródeł zastanych, w tym historycznych), badawczo-problemową (nastawioną na rozwiązanie sformułowanych precyzyjnie problemów naukowych) oraz monografii (będąca wyczerpującym i wszechstronnym przedstawieniem jednego zagadnienia: zjawiska, obiektu lub obszaru badań). W spektrum podejmowanej problematyki badawczej znajdują się m.in. dziedzictwo kulturowe, krajobraz kulturowy, miejska i wiejska sieć osadnicza, mniejszości narodowe, etniczne, językowe, kulturowe i religijne czy wybrane, poddane kompleksowemu opracowaniu małe ośrodki osadnicze i podmioty gospodarcze. </w:t>
      </w:r>
    </w:p>
    <w:p w14:paraId="7E546FA4" w14:textId="77777777" w:rsidR="00E141C6" w:rsidRPr="00E141C6" w:rsidRDefault="00E141C6" w:rsidP="00E141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1C6">
        <w:rPr>
          <w:rFonts w:ascii="Times New Roman" w:hAnsi="Times New Roman" w:cs="Times New Roman"/>
          <w:sz w:val="24"/>
          <w:szCs w:val="24"/>
        </w:rPr>
        <w:t xml:space="preserve">Prace licencjackie powstające w Katedrze Geografii Politycznej, Historycznej i Studiów Regionalnych dobrze odzwierciedlają profil badawczy ich autorów, którzy w toku gromadzenia i analizy materiału naukowego stają się geografami-humanistami, zdolnymi do widzenia problemów społeczno-gospodarczych w ich wymiarze lokalnym i regionalnym oraz uwarunkowaniach przestrzennych, polityczno-historycznych i kulturowych. </w:t>
      </w:r>
    </w:p>
    <w:p w14:paraId="7E546FA5" w14:textId="77777777" w:rsidR="00E141C6" w:rsidRPr="00E141C6" w:rsidRDefault="00E141C6" w:rsidP="00E141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1C6">
        <w:rPr>
          <w:rFonts w:ascii="Times New Roman" w:hAnsi="Times New Roman" w:cs="Times New Roman"/>
          <w:sz w:val="24"/>
          <w:szCs w:val="24"/>
        </w:rPr>
        <w:lastRenderedPageBreak/>
        <w:t xml:space="preserve">Podejmowana przez studentów tematyka badawcza znajduje nierzadko kontynuację w postaci tytułów prac magisterskich realizowanych na seminarium prowadzonym przez Katedrę Geografii Politycznej, Historycznej i Studiów Regionalnych na studiach magisterskich. </w:t>
      </w:r>
    </w:p>
    <w:p w14:paraId="7E546FA6" w14:textId="77777777" w:rsidR="00E141C6" w:rsidRPr="00E141C6" w:rsidRDefault="00E141C6" w:rsidP="00E141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1C6">
        <w:rPr>
          <w:rFonts w:ascii="Times New Roman" w:hAnsi="Times New Roman" w:cs="Times New Roman"/>
          <w:sz w:val="24"/>
          <w:szCs w:val="24"/>
        </w:rPr>
        <w:t>Studenci mogą zgłaszać własne propozycje tematów badawczych, które wymagają jednak akceptacji ze strony promotora.</w:t>
      </w:r>
    </w:p>
    <w:p w14:paraId="7E546FA7" w14:textId="77777777" w:rsidR="00E141C6" w:rsidRPr="00E141C6" w:rsidRDefault="00E141C6" w:rsidP="00E141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546FA8" w14:textId="7E6597CD" w:rsidR="00E141C6" w:rsidRPr="00E141C6" w:rsidRDefault="006B3726" w:rsidP="00E141C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Wybrane</w:t>
      </w:r>
      <w:r w:rsidR="00E141C6" w:rsidRPr="00E141C6">
        <w:rPr>
          <w:rFonts w:ascii="Times New Roman" w:hAnsi="Times New Roman" w:cs="Times New Roman"/>
          <w:b/>
          <w:sz w:val="24"/>
          <w:szCs w:val="24"/>
        </w:rPr>
        <w:t xml:space="preserve"> tytuły prac licencjackich</w:t>
      </w:r>
      <w:r w:rsidR="00F12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93B">
        <w:rPr>
          <w:rFonts w:ascii="Times New Roman" w:hAnsi="Times New Roman" w:cs="Times New Roman"/>
          <w:b/>
          <w:sz w:val="24"/>
          <w:szCs w:val="24"/>
        </w:rPr>
        <w:t xml:space="preserve">napisanych </w:t>
      </w:r>
      <w:r w:rsidR="00262586">
        <w:rPr>
          <w:rFonts w:ascii="Times New Roman" w:hAnsi="Times New Roman" w:cs="Times New Roman"/>
          <w:b/>
          <w:sz w:val="24"/>
          <w:szCs w:val="24"/>
        </w:rPr>
        <w:t>w ram</w:t>
      </w:r>
      <w:r w:rsidR="0028128E">
        <w:rPr>
          <w:rFonts w:ascii="Times New Roman" w:hAnsi="Times New Roman" w:cs="Times New Roman"/>
          <w:b/>
          <w:sz w:val="24"/>
          <w:szCs w:val="24"/>
        </w:rPr>
        <w:t>a</w:t>
      </w:r>
      <w:r w:rsidR="00262586">
        <w:rPr>
          <w:rFonts w:ascii="Times New Roman" w:hAnsi="Times New Roman" w:cs="Times New Roman"/>
          <w:b/>
          <w:sz w:val="24"/>
          <w:szCs w:val="24"/>
        </w:rPr>
        <w:t>ch</w:t>
      </w:r>
      <w:r w:rsidR="0028128E" w:rsidRPr="00281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28E">
        <w:rPr>
          <w:rFonts w:ascii="Times New Roman" w:hAnsi="Times New Roman" w:cs="Times New Roman"/>
          <w:b/>
          <w:sz w:val="24"/>
          <w:szCs w:val="24"/>
        </w:rPr>
        <w:t>seminarium</w:t>
      </w:r>
      <w:r w:rsidR="00262586">
        <w:rPr>
          <w:rFonts w:ascii="Times New Roman" w:hAnsi="Times New Roman" w:cs="Times New Roman"/>
          <w:b/>
          <w:sz w:val="24"/>
          <w:szCs w:val="24"/>
        </w:rPr>
        <w:t xml:space="preserve"> prowadzonego przez</w:t>
      </w:r>
      <w:r w:rsidR="002D493B">
        <w:rPr>
          <w:rFonts w:ascii="Times New Roman" w:hAnsi="Times New Roman" w:cs="Times New Roman"/>
          <w:b/>
          <w:sz w:val="24"/>
          <w:szCs w:val="24"/>
        </w:rPr>
        <w:t xml:space="preserve"> katedr</w:t>
      </w:r>
      <w:r w:rsidR="00262586">
        <w:rPr>
          <w:rFonts w:ascii="Times New Roman" w:hAnsi="Times New Roman" w:cs="Times New Roman"/>
          <w:b/>
          <w:sz w:val="24"/>
          <w:szCs w:val="24"/>
        </w:rPr>
        <w:t>ę</w:t>
      </w:r>
      <w:r w:rsidR="002D493B">
        <w:rPr>
          <w:rFonts w:ascii="Times New Roman" w:hAnsi="Times New Roman" w:cs="Times New Roman"/>
          <w:b/>
          <w:sz w:val="24"/>
          <w:szCs w:val="24"/>
        </w:rPr>
        <w:t>:</w:t>
      </w:r>
      <w:r w:rsidR="00E141C6" w:rsidRPr="00E141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546FA9" w14:textId="77777777" w:rsidR="00E141C6" w:rsidRPr="00E141C6" w:rsidRDefault="00E141C6" w:rsidP="00E141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546FAA" w14:textId="77777777" w:rsidR="00E141C6" w:rsidRPr="00BE6422" w:rsidRDefault="00E141C6" w:rsidP="00E141C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6422">
        <w:rPr>
          <w:rFonts w:ascii="Times New Roman" w:hAnsi="Times New Roman" w:cs="Times New Roman"/>
          <w:i/>
          <w:iCs/>
          <w:sz w:val="24"/>
          <w:szCs w:val="24"/>
        </w:rPr>
        <w:t xml:space="preserve">Monografia geograficzna Osjakowa w powiecie wieluńskim </w:t>
      </w:r>
    </w:p>
    <w:p w14:paraId="7E546FAB" w14:textId="77777777" w:rsidR="00E141C6" w:rsidRPr="00BE6422" w:rsidRDefault="00E141C6" w:rsidP="00E141C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6422">
        <w:rPr>
          <w:rFonts w:ascii="Times New Roman" w:hAnsi="Times New Roman" w:cs="Times New Roman"/>
          <w:i/>
          <w:iCs/>
          <w:sz w:val="24"/>
          <w:szCs w:val="24"/>
        </w:rPr>
        <w:t xml:space="preserve">Zmiany w użytkowaniu przestrzeni Rudy Pabianickiej w Łodzi w pierwszym dwudziestoleciu XXI w. </w:t>
      </w:r>
    </w:p>
    <w:p w14:paraId="7E546FAC" w14:textId="77777777" w:rsidR="00E141C6" w:rsidRPr="00BE6422" w:rsidRDefault="00E141C6" w:rsidP="00E141C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6422">
        <w:rPr>
          <w:rFonts w:ascii="Times New Roman" w:hAnsi="Times New Roman" w:cs="Times New Roman"/>
          <w:i/>
          <w:iCs/>
          <w:sz w:val="24"/>
          <w:szCs w:val="24"/>
        </w:rPr>
        <w:t xml:space="preserve">Fabryki porcelany w Ćmielowie – kontekst genetyczno-osadniczy i działalność </w:t>
      </w:r>
    </w:p>
    <w:p w14:paraId="7E546FAD" w14:textId="77777777" w:rsidR="00E141C6" w:rsidRPr="00BE6422" w:rsidRDefault="00E141C6" w:rsidP="00E141C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6422">
        <w:rPr>
          <w:rFonts w:ascii="Times New Roman" w:hAnsi="Times New Roman" w:cs="Times New Roman"/>
          <w:i/>
          <w:iCs/>
          <w:sz w:val="24"/>
          <w:szCs w:val="24"/>
        </w:rPr>
        <w:t xml:space="preserve">Przemiany morfologiczno-funkcjonalne ulicy Pomorskiej w Łodzi (na odcinku od Placu Wolności do Ronda Solidarności) </w:t>
      </w:r>
    </w:p>
    <w:p w14:paraId="7E546FAE" w14:textId="77777777" w:rsidR="00E141C6" w:rsidRPr="00BE6422" w:rsidRDefault="00E141C6" w:rsidP="00E141C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6422">
        <w:rPr>
          <w:rFonts w:ascii="Times New Roman" w:hAnsi="Times New Roman" w:cs="Times New Roman"/>
          <w:i/>
          <w:iCs/>
          <w:sz w:val="24"/>
          <w:szCs w:val="24"/>
        </w:rPr>
        <w:t xml:space="preserve">Religia jako czynnik warunkujący przemiany polityczno-kulturowe i przestrzenne w </w:t>
      </w:r>
      <w:proofErr w:type="spellStart"/>
      <w:r w:rsidRPr="00BE6422">
        <w:rPr>
          <w:rFonts w:ascii="Times New Roman" w:hAnsi="Times New Roman" w:cs="Times New Roman"/>
          <w:i/>
          <w:iCs/>
          <w:sz w:val="24"/>
          <w:szCs w:val="24"/>
        </w:rPr>
        <w:t>Oksytanii</w:t>
      </w:r>
      <w:proofErr w:type="spellEnd"/>
      <w:r w:rsidRPr="00BE6422">
        <w:rPr>
          <w:rFonts w:ascii="Times New Roman" w:hAnsi="Times New Roman" w:cs="Times New Roman"/>
          <w:i/>
          <w:iCs/>
          <w:sz w:val="24"/>
          <w:szCs w:val="24"/>
        </w:rPr>
        <w:t xml:space="preserve"> na przełomie XVI i XVII wieku </w:t>
      </w:r>
    </w:p>
    <w:p w14:paraId="7E546FAF" w14:textId="77777777" w:rsidR="00E141C6" w:rsidRPr="00BE6422" w:rsidRDefault="00E141C6" w:rsidP="00E141C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6422">
        <w:rPr>
          <w:rFonts w:ascii="Times New Roman" w:hAnsi="Times New Roman" w:cs="Times New Roman"/>
          <w:i/>
          <w:iCs/>
          <w:sz w:val="24"/>
          <w:szCs w:val="24"/>
        </w:rPr>
        <w:t xml:space="preserve">Dziedzictwo kulturowe w przestrzeni Brzezin </w:t>
      </w:r>
    </w:p>
    <w:p w14:paraId="7E546FB0" w14:textId="77777777" w:rsidR="00E141C6" w:rsidRPr="00BE6422" w:rsidRDefault="00E141C6" w:rsidP="00E141C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6422">
        <w:rPr>
          <w:rFonts w:ascii="Times New Roman" w:hAnsi="Times New Roman" w:cs="Times New Roman"/>
          <w:i/>
          <w:iCs/>
          <w:sz w:val="24"/>
          <w:szCs w:val="24"/>
        </w:rPr>
        <w:t>Rozwój działalności gospodarczej w gminie Stryków w XXI wieku</w:t>
      </w:r>
    </w:p>
    <w:p w14:paraId="7F038B01" w14:textId="45F8A138" w:rsidR="00BE6422" w:rsidRPr="00E141C6" w:rsidRDefault="00BE6422" w:rsidP="00E141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F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Ślady i formy upamiętnienia getta żydowskiego w przestrzeni współczesnej Łodzi</w:t>
      </w:r>
    </w:p>
    <w:sectPr w:rsidR="00BE6422" w:rsidRPr="00E14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1C6"/>
    <w:rsid w:val="00262586"/>
    <w:rsid w:val="0028128E"/>
    <w:rsid w:val="002D493B"/>
    <w:rsid w:val="004014E7"/>
    <w:rsid w:val="006B3726"/>
    <w:rsid w:val="008B779C"/>
    <w:rsid w:val="00BE6422"/>
    <w:rsid w:val="00D72E83"/>
    <w:rsid w:val="00E141C6"/>
    <w:rsid w:val="00F1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46F96"/>
  <w15:chartTrackingRefBased/>
  <w15:docId w15:val="{A2528EEC-6BC2-476A-9245-EC1DF222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 Rykała</cp:lastModifiedBy>
  <cp:revision>8</cp:revision>
  <dcterms:created xsi:type="dcterms:W3CDTF">2023-03-27T13:42:00Z</dcterms:created>
  <dcterms:modified xsi:type="dcterms:W3CDTF">2024-03-14T10:14:00Z</dcterms:modified>
</cp:coreProperties>
</file>